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8C0714" w:rsidP="00CF1133">
      <w:pPr>
        <w:ind w:left="-710" w:firstLine="695"/>
        <w:rPr>
          <w:b/>
          <w:bCs/>
        </w:rPr>
      </w:pPr>
    </w:p>
    <w:p w:rsidR="00CF1133" w:rsidRDefault="00840E2F" w:rsidP="00CF1133">
      <w:pPr>
        <w:ind w:left="-710" w:firstLine="695"/>
      </w:pPr>
      <w:r>
        <w:rPr>
          <w:b/>
          <w:bCs/>
        </w:rPr>
        <w:t xml:space="preserve">Lancashire Enterprise Partnership Limited  </w:t>
      </w:r>
    </w:p>
    <w:p w:rsidR="00CF1133" w:rsidRPr="00BC4466" w:rsidRDefault="00840E2F" w:rsidP="00CF1133">
      <w:pPr>
        <w:spacing w:after="0" w:line="256" w:lineRule="auto"/>
        <w:ind w:left="0" w:firstLine="0"/>
        <w:rPr>
          <w:b/>
          <w:bCs/>
        </w:rPr>
      </w:pPr>
      <w:r w:rsidRPr="00BC4466">
        <w:rPr>
          <w:b/>
          <w:bCs/>
        </w:rPr>
        <w:t xml:space="preserve"> </w:t>
      </w:r>
    </w:p>
    <w:p w:rsidR="00BC4466" w:rsidRPr="00BC4466" w:rsidRDefault="00840E2F" w:rsidP="00CF1133">
      <w:pPr>
        <w:spacing w:after="0" w:line="256" w:lineRule="auto"/>
        <w:ind w:left="0" w:firstLine="0"/>
        <w:rPr>
          <w:b/>
          <w:bCs/>
        </w:rPr>
      </w:pPr>
      <w:r w:rsidRPr="00BC4466">
        <w:rPr>
          <w:b/>
        </w:rPr>
        <w:t xml:space="preserve">Private and Confidential: </w:t>
      </w:r>
      <w:r>
        <w:rPr>
          <w:b/>
        </w:rPr>
        <w:t>NO</w:t>
      </w:r>
    </w:p>
    <w:p w:rsidR="00BC4466" w:rsidRDefault="008C0714" w:rsidP="00CF1133">
      <w:pPr>
        <w:spacing w:after="0" w:line="256" w:lineRule="auto"/>
        <w:ind w:left="0" w:firstLine="0"/>
      </w:pPr>
    </w:p>
    <w:p w:rsidR="00A3358A" w:rsidRDefault="00840E2F" w:rsidP="00A3358A">
      <w:r w:rsidRPr="005D0C06">
        <w:rPr>
          <w:b/>
        </w:rPr>
        <w:t>Date:</w:t>
      </w:r>
      <w:r>
        <w:t xml:space="preserve"> </w:t>
      </w:r>
      <w:fldSimple w:instr=" DOCPROPERTY  MeetingDate  \* MERGEFORMAT ">
        <w:r>
          <w:t>Tuesday, 8 December 2020</w:t>
        </w:r>
      </w:fldSimple>
    </w:p>
    <w:p w:rsidR="00A3358A" w:rsidRDefault="008C0714" w:rsidP="00A3358A"/>
    <w:p w:rsidR="00A3358A" w:rsidRDefault="00840E2F"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Board Financial Update - October 2020</w:t>
      </w:r>
      <w:r>
        <w:rPr>
          <w:rFonts w:eastAsia="Times New Roman" w:cs="Times New Roman"/>
          <w:b/>
          <w:color w:val="auto"/>
          <w:szCs w:val="20"/>
        </w:rPr>
        <w:fldChar w:fldCharType="end"/>
      </w:r>
    </w:p>
    <w:p w:rsidR="00A3358A" w:rsidRDefault="00840E2F" w:rsidP="00A3358A">
      <w:pPr>
        <w:ind w:left="0" w:firstLine="0"/>
      </w:pPr>
      <w:r>
        <w:t xml:space="preserve">(Appendix 'A' refers) </w:t>
      </w:r>
    </w:p>
    <w:p w:rsidR="00D7480F" w:rsidRDefault="008C0714" w:rsidP="00CF1133">
      <w:pPr>
        <w:spacing w:after="0" w:line="256" w:lineRule="auto"/>
        <w:ind w:left="0" w:firstLine="0"/>
      </w:pPr>
    </w:p>
    <w:p w:rsidR="00F41096" w:rsidRPr="00F41096" w:rsidRDefault="00840E2F"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Sarah Kemp</w:t>
      </w:r>
      <w:r>
        <w:rPr>
          <w:b/>
        </w:rPr>
        <w:fldChar w:fldCharType="end"/>
      </w:r>
      <w:r w:rsidRPr="00F41096">
        <w:rPr>
          <w:b/>
        </w:rPr>
        <w:t>,</w:t>
      </w:r>
      <w:r>
        <w:rPr>
          <w:b/>
        </w:rPr>
        <w:t xml:space="preserve"> LEP Chief Executive, 01772 </w:t>
      </w:r>
      <w:proofErr w:type="gramStart"/>
      <w:r>
        <w:rPr>
          <w:b/>
        </w:rPr>
        <w:t>531885</w:t>
      </w:r>
      <w:r w:rsidRPr="00F41096">
        <w:rPr>
          <w:b/>
        </w:rPr>
        <w:t xml:space="preserve"> </w:t>
      </w:r>
      <w:proofErr w:type="gramEnd"/>
      <w:r>
        <w:rPr>
          <w:b/>
        </w:rPr>
        <w:fldChar w:fldCharType="begin"/>
      </w:r>
      <w:r>
        <w:rPr>
          <w:b/>
        </w:rPr>
        <w:instrText xml:space="preserve"> DOCPROPERTY  LeadOfficerTel  \* MERGEFORMAT </w:instrText>
      </w:r>
      <w:r>
        <w:rPr>
          <w:b/>
        </w:rPr>
        <w:fldChar w:fldCharType="end"/>
      </w:r>
      <w:r w:rsidRPr="00F41096">
        <w:rPr>
          <w:b/>
        </w:rPr>
        <w:t xml:space="preserve">, </w:t>
      </w:r>
    </w:p>
    <w:p w:rsidR="00F41096" w:rsidRPr="00F41096" w:rsidRDefault="00840E2F" w:rsidP="00F41096">
      <w:pPr>
        <w:ind w:right="-873"/>
        <w:rPr>
          <w:b/>
        </w:rPr>
      </w:pPr>
      <w:r>
        <w:rPr>
          <w:b/>
        </w:rPr>
        <w:t>Sarah.kemp@lancashirelep.co.uk</w:t>
      </w:r>
    </w:p>
    <w:p w:rsidR="00F95C8B" w:rsidRPr="001C137E" w:rsidRDefault="00840E2F" w:rsidP="001C137E">
      <w:pPr>
        <w:spacing w:after="0" w:line="256" w:lineRule="auto"/>
        <w:ind w:left="0" w:firstLine="0"/>
        <w:rPr>
          <w:b/>
          <w:bCs/>
        </w:rPr>
      </w:pPr>
      <w:r>
        <w:rPr>
          <w:b/>
          <w:bC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C5EF1" w:rsidTr="00663979">
        <w:tc>
          <w:tcPr>
            <w:tcW w:w="9180" w:type="dxa"/>
          </w:tcPr>
          <w:p w:rsidR="00F95C8B" w:rsidRDefault="008C0714" w:rsidP="00841251">
            <w:pPr>
              <w:pStyle w:val="Header"/>
            </w:pPr>
          </w:p>
          <w:p w:rsidR="001C137E" w:rsidRDefault="00840E2F" w:rsidP="001C137E">
            <w:pPr>
              <w:pStyle w:val="Heading6"/>
              <w:rPr>
                <w:rFonts w:ascii="Arial" w:hAnsi="Arial"/>
                <w:b/>
                <w:color w:val="auto"/>
              </w:rPr>
            </w:pPr>
            <w:r w:rsidRPr="00F95C8B">
              <w:rPr>
                <w:rFonts w:ascii="Arial" w:hAnsi="Arial"/>
                <w:b/>
                <w:color w:val="auto"/>
              </w:rPr>
              <w:t>Executive Summary</w:t>
            </w:r>
          </w:p>
          <w:p w:rsidR="00F95C8B" w:rsidRPr="001C137E" w:rsidRDefault="00840E2F" w:rsidP="001C137E">
            <w:pPr>
              <w:pStyle w:val="Heading6"/>
              <w:ind w:left="0" w:firstLine="0"/>
              <w:rPr>
                <w:rFonts w:ascii="Arial" w:hAnsi="Arial" w:cs="Arial"/>
                <w:b/>
                <w:color w:val="auto"/>
              </w:rPr>
            </w:pPr>
            <w:r w:rsidRPr="001C137E">
              <w:rPr>
                <w:rFonts w:ascii="Arial" w:hAnsi="Arial" w:cs="Arial"/>
                <w:color w:val="auto"/>
              </w:rPr>
              <w:t>This report presents the Lancashire Enterprise Partnership Board with an update on</w:t>
            </w:r>
          </w:p>
          <w:p w:rsidR="00663979" w:rsidRPr="001C137E" w:rsidRDefault="00840E2F" w:rsidP="001C137E">
            <w:pPr>
              <w:ind w:left="0" w:firstLine="0"/>
              <w:jc w:val="both"/>
              <w:rPr>
                <w:color w:val="auto"/>
              </w:rPr>
            </w:pPr>
            <w:r w:rsidRPr="001C137E">
              <w:rPr>
                <w:color w:val="auto"/>
              </w:rPr>
              <w:t xml:space="preserve">LEP finances since the last Board meeting and an </w:t>
            </w:r>
            <w:r>
              <w:rPr>
                <w:color w:val="auto"/>
              </w:rPr>
              <w:t xml:space="preserve">update on financial forecast to </w:t>
            </w:r>
            <w:r w:rsidRPr="001C137E">
              <w:rPr>
                <w:color w:val="auto"/>
              </w:rPr>
              <w:t>March 2021.</w:t>
            </w:r>
          </w:p>
          <w:p w:rsidR="00F95C8B" w:rsidRPr="00F95C8B" w:rsidRDefault="008C0714" w:rsidP="00841251">
            <w:pPr>
              <w:rPr>
                <w:color w:val="auto"/>
              </w:rPr>
            </w:pPr>
          </w:p>
          <w:p w:rsidR="00F95C8B" w:rsidRPr="00F95C8B" w:rsidRDefault="00840E2F" w:rsidP="00841251">
            <w:pPr>
              <w:pStyle w:val="Heading5"/>
              <w:rPr>
                <w:rFonts w:ascii="Arial" w:hAnsi="Arial"/>
                <w:b/>
                <w:color w:val="auto"/>
              </w:rPr>
            </w:pPr>
            <w:r w:rsidRPr="00F95C8B">
              <w:rPr>
                <w:rFonts w:ascii="Arial" w:hAnsi="Arial"/>
                <w:b/>
                <w:color w:val="auto"/>
              </w:rPr>
              <w:t>Recommendation</w:t>
            </w:r>
          </w:p>
          <w:p w:rsidR="00F95C8B" w:rsidRPr="00F95C8B" w:rsidRDefault="008C0714" w:rsidP="00841251">
            <w:pPr>
              <w:rPr>
                <w:color w:val="auto"/>
              </w:rPr>
            </w:pPr>
          </w:p>
          <w:p w:rsidR="00F95C8B" w:rsidRDefault="00840E2F" w:rsidP="00841251">
            <w:pPr>
              <w:rPr>
                <w:color w:val="auto"/>
              </w:rPr>
            </w:pPr>
            <w:r>
              <w:rPr>
                <w:color w:val="auto"/>
              </w:rPr>
              <w:t>The Lancashire Enterprise Partnership Board is asked to note :</w:t>
            </w:r>
          </w:p>
          <w:p w:rsidR="001C137E" w:rsidRDefault="008C0714" w:rsidP="00841251">
            <w:pPr>
              <w:rPr>
                <w:color w:val="auto"/>
              </w:rPr>
            </w:pPr>
          </w:p>
          <w:p w:rsidR="001C137E" w:rsidRDefault="00840E2F" w:rsidP="001C137E">
            <w:pPr>
              <w:pStyle w:val="ListParagraph"/>
              <w:numPr>
                <w:ilvl w:val="0"/>
                <w:numId w:val="9"/>
              </w:numPr>
              <w:rPr>
                <w:color w:val="auto"/>
              </w:rPr>
            </w:pPr>
            <w:r w:rsidRPr="001C137E">
              <w:rPr>
                <w:color w:val="auto"/>
              </w:rPr>
              <w:t xml:space="preserve">The position on income and expenditure of the LEPs Operating Budget to October 2020 and changes to the </w:t>
            </w:r>
            <w:r>
              <w:rPr>
                <w:color w:val="auto"/>
              </w:rPr>
              <w:t>forecast to year end March 2021.</w:t>
            </w:r>
          </w:p>
          <w:p w:rsidR="001C137E" w:rsidRDefault="008C0714" w:rsidP="001C137E">
            <w:pPr>
              <w:pStyle w:val="ListParagraph"/>
              <w:ind w:left="1080" w:firstLine="0"/>
              <w:rPr>
                <w:color w:val="auto"/>
              </w:rPr>
            </w:pPr>
          </w:p>
          <w:p w:rsidR="001C137E" w:rsidRDefault="00840E2F" w:rsidP="001C137E">
            <w:pPr>
              <w:pStyle w:val="ListParagraph"/>
              <w:numPr>
                <w:ilvl w:val="0"/>
                <w:numId w:val="9"/>
              </w:numPr>
              <w:rPr>
                <w:color w:val="auto"/>
              </w:rPr>
            </w:pPr>
            <w:r w:rsidRPr="001C137E">
              <w:rPr>
                <w:color w:val="auto"/>
              </w:rPr>
              <w:t>The end of year forecast of an in year deficit of £1,560,725 based on the use of retained reserves to fund the delivery of this years agreed budget plus the c</w:t>
            </w:r>
            <w:r>
              <w:rPr>
                <w:color w:val="auto"/>
              </w:rPr>
              <w:t>hanges notified in this report.</w:t>
            </w:r>
          </w:p>
          <w:p w:rsidR="001C137E" w:rsidRPr="001C137E" w:rsidRDefault="008C0714" w:rsidP="001C137E">
            <w:pPr>
              <w:pStyle w:val="ListParagraph"/>
              <w:rPr>
                <w:color w:val="auto"/>
              </w:rPr>
            </w:pPr>
          </w:p>
          <w:p w:rsidR="001C137E" w:rsidRDefault="00840E2F" w:rsidP="001C137E">
            <w:pPr>
              <w:pStyle w:val="ListParagraph"/>
              <w:numPr>
                <w:ilvl w:val="0"/>
                <w:numId w:val="9"/>
              </w:numPr>
              <w:rPr>
                <w:color w:val="auto"/>
              </w:rPr>
            </w:pPr>
            <w:r w:rsidRPr="001C137E">
              <w:rPr>
                <w:color w:val="auto"/>
              </w:rPr>
              <w:t>The estimated position at year end of available reserves of £912,284</w:t>
            </w:r>
            <w:r>
              <w:rPr>
                <w:color w:val="auto"/>
              </w:rPr>
              <w:t>; and</w:t>
            </w:r>
          </w:p>
          <w:p w:rsidR="001C137E" w:rsidRPr="001C137E" w:rsidRDefault="008C0714" w:rsidP="001C137E">
            <w:pPr>
              <w:pStyle w:val="ListParagraph"/>
              <w:rPr>
                <w:color w:val="auto"/>
              </w:rPr>
            </w:pPr>
          </w:p>
          <w:p w:rsidR="00663979" w:rsidRPr="001C137E" w:rsidRDefault="00840E2F" w:rsidP="001C137E">
            <w:pPr>
              <w:pStyle w:val="ListParagraph"/>
              <w:numPr>
                <w:ilvl w:val="0"/>
                <w:numId w:val="9"/>
              </w:numPr>
              <w:rPr>
                <w:color w:val="auto"/>
              </w:rPr>
            </w:pPr>
            <w:r w:rsidRPr="001C137E">
              <w:rPr>
                <w:color w:val="auto"/>
              </w:rPr>
              <w:t xml:space="preserve">The Section 151 officer commentary on the operating budget position and its implications medium term financial strategy. </w:t>
            </w:r>
          </w:p>
          <w:p w:rsidR="00F95C8B" w:rsidRDefault="008C0714" w:rsidP="00841251"/>
        </w:tc>
      </w:tr>
    </w:tbl>
    <w:p w:rsidR="00A3358A" w:rsidRDefault="008C0714" w:rsidP="00CF1133">
      <w:pPr>
        <w:spacing w:after="0" w:line="256" w:lineRule="auto"/>
        <w:ind w:left="0" w:firstLine="0"/>
      </w:pPr>
    </w:p>
    <w:p w:rsidR="00A3358A" w:rsidRDefault="00840E2F" w:rsidP="00A3358A">
      <w:pPr>
        <w:rPr>
          <w:b/>
        </w:rPr>
      </w:pPr>
      <w:r>
        <w:rPr>
          <w:b/>
        </w:rPr>
        <w:t xml:space="preserve">Background and Advice </w:t>
      </w:r>
    </w:p>
    <w:p w:rsidR="00A3358A" w:rsidRDefault="008C0714" w:rsidP="00A3358A">
      <w:pPr>
        <w:rPr>
          <w:b/>
        </w:rPr>
      </w:pPr>
    </w:p>
    <w:p w:rsidR="00E33683" w:rsidRDefault="00840E2F" w:rsidP="001C137E">
      <w:pPr>
        <w:ind w:left="0" w:firstLine="0"/>
        <w:jc w:val="both"/>
      </w:pPr>
      <w:r>
        <w:t>The Board are requested to note the main changes in this account since September 2020, and the operating</w:t>
      </w:r>
      <w:r w:rsidR="008C0714">
        <w:t xml:space="preserve"> budget attached at Appendix 'A'.</w:t>
      </w:r>
    </w:p>
    <w:p w:rsidR="00A3358A" w:rsidRDefault="008C0714" w:rsidP="001C137E">
      <w:pPr>
        <w:ind w:left="0" w:firstLine="0"/>
        <w:jc w:val="both"/>
      </w:pPr>
    </w:p>
    <w:p w:rsidR="00E33683" w:rsidRPr="001C137E" w:rsidRDefault="00840E2F" w:rsidP="001C137E">
      <w:pPr>
        <w:ind w:left="0" w:firstLine="0"/>
        <w:jc w:val="both"/>
        <w:rPr>
          <w:b/>
        </w:rPr>
      </w:pPr>
      <w:r w:rsidRPr="001C137E">
        <w:rPr>
          <w:b/>
        </w:rPr>
        <w:t>1.0 Income</w:t>
      </w:r>
    </w:p>
    <w:p w:rsidR="00E33683" w:rsidRDefault="00840E2F" w:rsidP="001C137E">
      <w:pPr>
        <w:ind w:left="0" w:firstLine="0"/>
        <w:jc w:val="both"/>
      </w:pPr>
      <w:r>
        <w:t xml:space="preserve">Actual Income has changed by: </w:t>
      </w:r>
    </w:p>
    <w:p w:rsidR="00E33683" w:rsidRDefault="00840E2F" w:rsidP="001C137E">
      <w:pPr>
        <w:pStyle w:val="ListParagraph"/>
        <w:numPr>
          <w:ilvl w:val="0"/>
          <w:numId w:val="4"/>
        </w:numPr>
        <w:ind w:left="426" w:hanging="426"/>
        <w:jc w:val="both"/>
      </w:pPr>
      <w:r>
        <w:t xml:space="preserve">A reduction in growing places interest to £171,091 following the cancellation of an invoice previously raised as agreed at previous board meetings.  </w:t>
      </w:r>
    </w:p>
    <w:p w:rsidR="00E33683" w:rsidRDefault="00840E2F" w:rsidP="001C137E">
      <w:pPr>
        <w:pStyle w:val="ListParagraph"/>
        <w:numPr>
          <w:ilvl w:val="0"/>
          <w:numId w:val="4"/>
        </w:numPr>
        <w:ind w:left="426" w:hanging="426"/>
        <w:jc w:val="both"/>
      </w:pPr>
      <w:r>
        <w:lastRenderedPageBreak/>
        <w:t xml:space="preserve">A new income source of interest earned on LEP controlled funds held by the Accountable Body.  This is £56,915 to October and will accumulate on a daily basis on funds held after payments to grant recipients are made.  </w:t>
      </w:r>
    </w:p>
    <w:p w:rsidR="00E33683" w:rsidRDefault="008C0714" w:rsidP="001C137E">
      <w:pPr>
        <w:ind w:left="0" w:firstLine="0"/>
        <w:jc w:val="both"/>
      </w:pPr>
    </w:p>
    <w:p w:rsidR="00E33683" w:rsidRPr="001C137E" w:rsidRDefault="00840E2F" w:rsidP="001C137E">
      <w:pPr>
        <w:ind w:left="0" w:firstLine="0"/>
        <w:jc w:val="both"/>
        <w:rPr>
          <w:b/>
        </w:rPr>
      </w:pPr>
      <w:r w:rsidRPr="001C137E">
        <w:rPr>
          <w:b/>
        </w:rPr>
        <w:t>2.0 Expenditure</w:t>
      </w:r>
    </w:p>
    <w:p w:rsidR="00E33683" w:rsidRDefault="00840E2F" w:rsidP="001C137E">
      <w:pPr>
        <w:ind w:left="0" w:firstLine="0"/>
        <w:jc w:val="both"/>
        <w:rPr>
          <w:b/>
        </w:rPr>
      </w:pPr>
      <w:r w:rsidRPr="001C137E">
        <w:rPr>
          <w:b/>
        </w:rPr>
        <w:t xml:space="preserve">Salaries </w:t>
      </w:r>
    </w:p>
    <w:p w:rsidR="001C137E" w:rsidRPr="001C137E" w:rsidRDefault="008C0714" w:rsidP="001C137E">
      <w:pPr>
        <w:ind w:left="0" w:firstLine="0"/>
        <w:jc w:val="both"/>
        <w:rPr>
          <w:b/>
        </w:rPr>
      </w:pPr>
    </w:p>
    <w:p w:rsidR="00E33683" w:rsidRDefault="00840E2F" w:rsidP="001C137E">
      <w:pPr>
        <w:pStyle w:val="ListParagraph"/>
        <w:numPr>
          <w:ilvl w:val="0"/>
          <w:numId w:val="6"/>
        </w:numPr>
        <w:ind w:left="426" w:hanging="426"/>
        <w:jc w:val="both"/>
      </w:pPr>
      <w:r>
        <w:t xml:space="preserve">Monthly salaries are in line with the approved budget for the existing LEP staff, there are new posts being recruited and in </w:t>
      </w:r>
      <w:r w:rsidR="008C0714">
        <w:t>planning whose</w:t>
      </w:r>
      <w:r>
        <w:t xml:space="preserve"> salaries are not yet forecast in these figures.  </w:t>
      </w:r>
    </w:p>
    <w:p w:rsidR="001C137E" w:rsidRDefault="008C0714" w:rsidP="001C137E">
      <w:pPr>
        <w:pStyle w:val="ListParagraph"/>
        <w:ind w:left="426" w:firstLine="0"/>
        <w:jc w:val="both"/>
      </w:pPr>
    </w:p>
    <w:p w:rsidR="00D469F4" w:rsidRDefault="00840E2F" w:rsidP="001C137E">
      <w:pPr>
        <w:jc w:val="both"/>
        <w:rPr>
          <w:b/>
        </w:rPr>
      </w:pPr>
      <w:r w:rsidRPr="001C137E">
        <w:rPr>
          <w:b/>
        </w:rPr>
        <w:t xml:space="preserve">Core Running Costs </w:t>
      </w:r>
    </w:p>
    <w:p w:rsidR="001C137E" w:rsidRPr="001C137E" w:rsidRDefault="008C0714" w:rsidP="001C137E">
      <w:pPr>
        <w:jc w:val="both"/>
        <w:rPr>
          <w:b/>
        </w:rPr>
      </w:pPr>
    </w:p>
    <w:p w:rsidR="00D469F4" w:rsidRDefault="00840E2F" w:rsidP="001C137E">
      <w:pPr>
        <w:pStyle w:val="ListParagraph"/>
        <w:numPr>
          <w:ilvl w:val="0"/>
          <w:numId w:val="6"/>
        </w:numPr>
        <w:ind w:left="426" w:hanging="426"/>
        <w:jc w:val="both"/>
      </w:pPr>
      <w:r>
        <w:t xml:space="preserve">Rental invoices of £2,838 have been paid since September. </w:t>
      </w:r>
    </w:p>
    <w:p w:rsidR="00D469F4" w:rsidRDefault="00840E2F" w:rsidP="001C137E">
      <w:pPr>
        <w:pStyle w:val="ListParagraph"/>
        <w:numPr>
          <w:ilvl w:val="0"/>
          <w:numId w:val="6"/>
        </w:numPr>
        <w:ind w:left="426" w:hanging="426"/>
        <w:jc w:val="both"/>
      </w:pPr>
      <w:r>
        <w:t xml:space="preserve">A new forecast has been added for annual charges for treasury management charges and provision of banking facilities of £15,200. This relates to the income attributed from LEP controlled funds above and is based on the provision of similar services to other organisations. </w:t>
      </w:r>
    </w:p>
    <w:p w:rsidR="00D469F4" w:rsidRDefault="00840E2F" w:rsidP="001C137E">
      <w:pPr>
        <w:pStyle w:val="ListParagraph"/>
        <w:numPr>
          <w:ilvl w:val="0"/>
          <w:numId w:val="6"/>
        </w:numPr>
        <w:ind w:left="426" w:hanging="426"/>
        <w:jc w:val="both"/>
      </w:pPr>
      <w:r>
        <w:t xml:space="preserve">A further forecast will be added in coming months for the cost of accountable body support, the figure of which is yet to be agreed.  </w:t>
      </w:r>
    </w:p>
    <w:p w:rsidR="001C137E" w:rsidRDefault="008C0714" w:rsidP="001C137E">
      <w:pPr>
        <w:jc w:val="both"/>
      </w:pPr>
    </w:p>
    <w:p w:rsidR="00D469F4" w:rsidRDefault="00840E2F" w:rsidP="001C137E">
      <w:pPr>
        <w:jc w:val="both"/>
        <w:rPr>
          <w:b/>
        </w:rPr>
      </w:pPr>
      <w:r w:rsidRPr="001C137E">
        <w:rPr>
          <w:b/>
        </w:rPr>
        <w:t xml:space="preserve">Project Support </w:t>
      </w:r>
    </w:p>
    <w:p w:rsidR="001C137E" w:rsidRPr="001C137E" w:rsidRDefault="008C0714" w:rsidP="001C137E">
      <w:pPr>
        <w:jc w:val="both"/>
        <w:rPr>
          <w:b/>
        </w:rPr>
      </w:pPr>
    </w:p>
    <w:p w:rsidR="00D469F4" w:rsidRDefault="00840E2F" w:rsidP="001C137E">
      <w:pPr>
        <w:pStyle w:val="ListParagraph"/>
        <w:numPr>
          <w:ilvl w:val="0"/>
          <w:numId w:val="7"/>
        </w:numPr>
        <w:ind w:left="426" w:hanging="426"/>
        <w:jc w:val="both"/>
      </w:pPr>
      <w:r>
        <w:t xml:space="preserve">Payments of £17,441 have been paid to external assurors to allow growth deal funds to be granted to projects.  </w:t>
      </w:r>
    </w:p>
    <w:p w:rsidR="00D469F4" w:rsidRDefault="00840E2F" w:rsidP="001C137E">
      <w:pPr>
        <w:pStyle w:val="ListParagraph"/>
        <w:numPr>
          <w:ilvl w:val="0"/>
          <w:numId w:val="7"/>
        </w:numPr>
        <w:ind w:left="426" w:hanging="426"/>
        <w:jc w:val="both"/>
      </w:pPr>
      <w:r>
        <w:t xml:space="preserve">The provision for support to Eden project has been removed as they have secured Growth Deal funding in its place. </w:t>
      </w:r>
    </w:p>
    <w:p w:rsidR="00D469F4" w:rsidRDefault="00840E2F" w:rsidP="001C137E">
      <w:pPr>
        <w:pStyle w:val="ListParagraph"/>
        <w:numPr>
          <w:ilvl w:val="0"/>
          <w:numId w:val="7"/>
        </w:numPr>
        <w:ind w:left="426" w:hanging="426"/>
        <w:jc w:val="both"/>
      </w:pPr>
      <w:r>
        <w:t xml:space="preserve">Provision is covered for the amounts in the Strategic Framework Development report of £290,000;  £220,000 in Strategic Framework Delivery line and £70,000 in the LIS production line </w:t>
      </w:r>
    </w:p>
    <w:p w:rsidR="00D469F4" w:rsidRDefault="00840E2F" w:rsidP="001C137E">
      <w:pPr>
        <w:pStyle w:val="ListParagraph"/>
        <w:numPr>
          <w:ilvl w:val="0"/>
          <w:numId w:val="7"/>
        </w:numPr>
        <w:ind w:left="426" w:hanging="426"/>
        <w:jc w:val="both"/>
      </w:pPr>
      <w:r>
        <w:t xml:space="preserve">General Project Funding provision remains forecast at £510,000 with no expenditure to date. </w:t>
      </w:r>
    </w:p>
    <w:p w:rsidR="001C137E" w:rsidRDefault="008C0714" w:rsidP="001C137E">
      <w:pPr>
        <w:pStyle w:val="ListParagraph"/>
        <w:ind w:left="426" w:firstLine="0"/>
        <w:jc w:val="both"/>
      </w:pPr>
    </w:p>
    <w:p w:rsidR="00D469F4" w:rsidRDefault="00840E2F" w:rsidP="001C137E">
      <w:pPr>
        <w:jc w:val="both"/>
        <w:rPr>
          <w:b/>
        </w:rPr>
      </w:pPr>
      <w:r w:rsidRPr="001C137E">
        <w:rPr>
          <w:b/>
        </w:rPr>
        <w:t xml:space="preserve">Marketing &amp; communications activity </w:t>
      </w:r>
    </w:p>
    <w:p w:rsidR="001C137E" w:rsidRPr="001C137E" w:rsidRDefault="008C0714" w:rsidP="001C137E">
      <w:pPr>
        <w:jc w:val="both"/>
        <w:rPr>
          <w:b/>
        </w:rPr>
      </w:pPr>
    </w:p>
    <w:p w:rsidR="00D469F4" w:rsidRDefault="00840E2F" w:rsidP="001C137E">
      <w:pPr>
        <w:pStyle w:val="ListParagraph"/>
        <w:numPr>
          <w:ilvl w:val="0"/>
          <w:numId w:val="8"/>
        </w:numPr>
        <w:ind w:left="426" w:hanging="426"/>
        <w:jc w:val="both"/>
      </w:pPr>
      <w:r>
        <w:t>Expenditure of £4,500 in the period on support for tourism, c</w:t>
      </w:r>
      <w:r w:rsidR="008C0714">
        <w:t xml:space="preserve">ulture and Place sector group, </w:t>
      </w:r>
      <w:r>
        <w:t xml:space="preserve">and towards the Insider event on Enterprise Zones held in October 2020.  </w:t>
      </w:r>
    </w:p>
    <w:p w:rsidR="001C137E" w:rsidRDefault="008C0714" w:rsidP="001C137E">
      <w:pPr>
        <w:jc w:val="both"/>
      </w:pPr>
    </w:p>
    <w:p w:rsidR="00AF3A0B" w:rsidRDefault="00840E2F" w:rsidP="001C137E">
      <w:pPr>
        <w:jc w:val="both"/>
        <w:rPr>
          <w:b/>
        </w:rPr>
      </w:pPr>
      <w:r w:rsidRPr="001C137E">
        <w:rPr>
          <w:b/>
        </w:rPr>
        <w:t xml:space="preserve">Fees and charges </w:t>
      </w:r>
    </w:p>
    <w:p w:rsidR="001C137E" w:rsidRPr="001C137E" w:rsidRDefault="008C0714" w:rsidP="001C137E">
      <w:pPr>
        <w:jc w:val="both"/>
        <w:rPr>
          <w:b/>
        </w:rPr>
      </w:pPr>
    </w:p>
    <w:p w:rsidR="00AF3A0B" w:rsidRDefault="00840E2F" w:rsidP="001C137E">
      <w:pPr>
        <w:pStyle w:val="ListParagraph"/>
        <w:numPr>
          <w:ilvl w:val="0"/>
          <w:numId w:val="8"/>
        </w:numPr>
        <w:ind w:left="426" w:hanging="426"/>
        <w:jc w:val="both"/>
      </w:pPr>
      <w:r>
        <w:t>Payments in the period of £33,914 for the services of senior consultancy support. The forecast is for this to end at December 2020</w:t>
      </w:r>
      <w:r w:rsidR="008C0714">
        <w:t>.</w:t>
      </w:r>
      <w:r>
        <w:t xml:space="preserve"> </w:t>
      </w:r>
    </w:p>
    <w:p w:rsidR="001C137E" w:rsidRDefault="008C0714" w:rsidP="001C137E">
      <w:pPr>
        <w:jc w:val="both"/>
      </w:pPr>
    </w:p>
    <w:p w:rsidR="00AF3A0B" w:rsidRPr="001C137E" w:rsidRDefault="00840E2F" w:rsidP="001C137E">
      <w:pPr>
        <w:jc w:val="both"/>
        <w:rPr>
          <w:b/>
        </w:rPr>
      </w:pPr>
      <w:r w:rsidRPr="001C137E">
        <w:rPr>
          <w:b/>
        </w:rPr>
        <w:t>LEP restructuring</w:t>
      </w:r>
    </w:p>
    <w:p w:rsidR="00AF3A0B" w:rsidRDefault="00840E2F" w:rsidP="001C137E">
      <w:pPr>
        <w:pStyle w:val="ListParagraph"/>
        <w:numPr>
          <w:ilvl w:val="0"/>
          <w:numId w:val="8"/>
        </w:numPr>
        <w:ind w:left="426" w:hanging="426"/>
        <w:jc w:val="both"/>
      </w:pPr>
      <w:r>
        <w:t xml:space="preserve">Payments made of £23,555 consisting of £3,575 for consultancy services for the aerospace sector and £19,980 for GVA and employment data projections.  </w:t>
      </w:r>
    </w:p>
    <w:p w:rsidR="00AF3A0B" w:rsidRDefault="00840E2F" w:rsidP="001C137E">
      <w:pPr>
        <w:pStyle w:val="ListParagraph"/>
        <w:numPr>
          <w:ilvl w:val="0"/>
          <w:numId w:val="8"/>
        </w:numPr>
        <w:ind w:left="426" w:hanging="426"/>
        <w:jc w:val="both"/>
      </w:pPr>
      <w:r>
        <w:lastRenderedPageBreak/>
        <w:t xml:space="preserve">Forecasts are as budget apart from the inclusion of a provision for the one agreed indemnity for staff redundancy liabilities.  These will need to increase as the number of permanent staff increases and the forecasts will be adjusted accordingly going forward.  </w:t>
      </w:r>
    </w:p>
    <w:p w:rsidR="00AF3A0B" w:rsidRDefault="008C0714" w:rsidP="001C137E">
      <w:pPr>
        <w:pStyle w:val="ListParagraph"/>
        <w:ind w:left="1262" w:firstLine="0"/>
        <w:jc w:val="both"/>
      </w:pPr>
    </w:p>
    <w:p w:rsidR="00AF3A0B" w:rsidRPr="001C137E" w:rsidRDefault="00840E2F" w:rsidP="001C137E">
      <w:pPr>
        <w:ind w:left="0" w:firstLine="0"/>
        <w:jc w:val="both"/>
        <w:rPr>
          <w:b/>
        </w:rPr>
      </w:pPr>
      <w:r w:rsidRPr="001C137E">
        <w:rPr>
          <w:b/>
        </w:rPr>
        <w:t xml:space="preserve">3.0 Forecasts </w:t>
      </w:r>
    </w:p>
    <w:p w:rsidR="001C137E" w:rsidRDefault="008C0714" w:rsidP="001C137E">
      <w:pPr>
        <w:ind w:left="0" w:firstLine="0"/>
        <w:jc w:val="both"/>
      </w:pPr>
    </w:p>
    <w:p w:rsidR="00AF3A0B" w:rsidRDefault="00840E2F" w:rsidP="001C137E">
      <w:pPr>
        <w:ind w:left="0" w:firstLine="0"/>
        <w:jc w:val="both"/>
      </w:pPr>
      <w:r>
        <w:t xml:space="preserve">The forecast for the year has changed from a forecast net expenditure of £1,686,666 as at September to £1,560,725 as at October.  </w:t>
      </w:r>
    </w:p>
    <w:p w:rsidR="008C0714" w:rsidRDefault="008C0714" w:rsidP="001C137E">
      <w:pPr>
        <w:ind w:left="0" w:firstLine="0"/>
        <w:jc w:val="both"/>
      </w:pPr>
    </w:p>
    <w:p w:rsidR="001C137E" w:rsidRDefault="00840E2F" w:rsidP="001C137E">
      <w:pPr>
        <w:ind w:left="0" w:firstLine="0"/>
        <w:jc w:val="both"/>
      </w:pPr>
      <w:r>
        <w:t>The forecast reserve position as at March 2021 will be reserves of £912,284.</w:t>
      </w:r>
    </w:p>
    <w:p w:rsidR="001C137E" w:rsidRDefault="008C0714" w:rsidP="001C137E">
      <w:pPr>
        <w:ind w:left="0" w:firstLine="0"/>
        <w:jc w:val="both"/>
      </w:pPr>
    </w:p>
    <w:p w:rsidR="00AF3A0B" w:rsidRDefault="00840E2F" w:rsidP="001C137E">
      <w:pPr>
        <w:ind w:left="0" w:firstLine="0"/>
        <w:jc w:val="both"/>
      </w:pPr>
      <w:r>
        <w:t xml:space="preserve">These forecasts continue to include the provision of £510,000 for general project funding but the provision for commitment to Eden of the north has been removed.  If this remaining provision was removed the remaining reserves would £1,422,284.  </w:t>
      </w:r>
    </w:p>
    <w:p w:rsidR="00BA7197" w:rsidRDefault="008C0714" w:rsidP="001C137E">
      <w:pPr>
        <w:ind w:left="0" w:firstLine="542"/>
        <w:jc w:val="both"/>
      </w:pPr>
    </w:p>
    <w:p w:rsidR="00BA7197" w:rsidRPr="001C137E" w:rsidRDefault="00840E2F" w:rsidP="001C137E">
      <w:pPr>
        <w:jc w:val="both"/>
        <w:rPr>
          <w:b/>
        </w:rPr>
      </w:pPr>
      <w:r w:rsidRPr="001C137E">
        <w:rPr>
          <w:b/>
        </w:rPr>
        <w:t xml:space="preserve">4.0 Section 151 Commentary </w:t>
      </w:r>
    </w:p>
    <w:p w:rsidR="001C137E" w:rsidRDefault="008C0714" w:rsidP="001C137E">
      <w:pPr>
        <w:jc w:val="both"/>
      </w:pPr>
    </w:p>
    <w:p w:rsidR="007948EE" w:rsidRDefault="00840E2F" w:rsidP="001C137E">
      <w:pPr>
        <w:ind w:left="0" w:firstLine="0"/>
        <w:jc w:val="both"/>
      </w:pPr>
      <w:r>
        <w:t>The LEP started the year with healthy reserves which are being used to support its current activity. Basic operating costs currently make up in excess of 90% of the forecast annual income despite significant increases this year and excluding the additional costs yet to be added as set out in the strategic framework report.  This significantly constrains future investment decisions</w:t>
      </w:r>
      <w:r w:rsidRPr="00BA7197">
        <w:t xml:space="preserve"> </w:t>
      </w:r>
      <w:r>
        <w:t xml:space="preserve">the LEP may wish to make to promote local opportunities or in response to HMG initiatives. Directors will need to prioritise their spending choices to ensure they retain a sustainable operating model to deliver their strategic ambitions. </w:t>
      </w:r>
    </w:p>
    <w:p w:rsidR="007948EE" w:rsidRDefault="008C0714" w:rsidP="001C137E">
      <w:pPr>
        <w:jc w:val="both"/>
      </w:pPr>
    </w:p>
    <w:p w:rsidR="00B86095" w:rsidRDefault="00840E2F" w:rsidP="001C137E">
      <w:pPr>
        <w:ind w:left="0" w:firstLine="0"/>
        <w:jc w:val="both"/>
      </w:pPr>
      <w:r>
        <w:t>Income levels are vulnerable to future Government spending decisions, also Growth Deal funds are due to be expended by 31</w:t>
      </w:r>
      <w:r w:rsidRPr="00BA7197">
        <w:rPr>
          <w:vertAlign w:val="superscript"/>
        </w:rPr>
        <w:t>st</w:t>
      </w:r>
      <w:r>
        <w:t xml:space="preserve"> March 2021 and the Getting Building Better fund by </w:t>
      </w:r>
      <w:r w:rsidR="008C0714">
        <w:t>mid-2022</w:t>
      </w:r>
      <w:bookmarkStart w:id="0" w:name="_GoBack"/>
      <w:bookmarkEnd w:id="0"/>
      <w:r>
        <w:t xml:space="preserve">.  It is expected that alternative funds though may be available, not least of which will be opportunities arising from the £4bn levelling up fund announced in last week's Spending Review should these flow through the LEPs for allocation.    </w:t>
      </w:r>
    </w:p>
    <w:p w:rsidR="00B86095" w:rsidRDefault="008C0714" w:rsidP="001C137E">
      <w:pPr>
        <w:ind w:firstLine="0"/>
        <w:jc w:val="both"/>
      </w:pPr>
    </w:p>
    <w:p w:rsidR="00E33683" w:rsidRDefault="00840E2F" w:rsidP="001C137E">
      <w:pPr>
        <w:ind w:left="0" w:firstLine="0"/>
        <w:jc w:val="both"/>
      </w:pPr>
      <w:r>
        <w:t xml:space="preserve">As the LEP enters its next phase as captured in the emerging strategic framework, including the development of the medium term financial strategy, and the conclusions of the governance review, the Board will want to ensure it maintains a suitable pathway to delivering its objectives.  </w:t>
      </w:r>
    </w:p>
    <w:p w:rsidR="00386D34" w:rsidRDefault="008C0714"/>
    <w:p w:rsidR="005D0C06" w:rsidRPr="00AB6785" w:rsidRDefault="00840E2F" w:rsidP="005D0C06">
      <w:pPr>
        <w:pStyle w:val="Heading5"/>
        <w:rPr>
          <w:rFonts w:ascii="Arial" w:hAnsi="Arial"/>
          <w:b/>
          <w:color w:val="auto"/>
        </w:rPr>
      </w:pPr>
      <w:r w:rsidRPr="00AB6785">
        <w:rPr>
          <w:rFonts w:ascii="Arial" w:hAnsi="Arial"/>
          <w:b/>
          <w:color w:val="auto"/>
        </w:rPr>
        <w:t>List of Background Papers</w:t>
      </w:r>
    </w:p>
    <w:p w:rsidR="005D0C06" w:rsidRDefault="008C0714" w:rsidP="005D0C06"/>
    <w:tbl>
      <w:tblPr>
        <w:tblW w:w="0" w:type="auto"/>
        <w:tblLayout w:type="fixed"/>
        <w:tblLook w:val="0000" w:firstRow="0" w:lastRow="0" w:firstColumn="0" w:lastColumn="0" w:noHBand="0" w:noVBand="0"/>
      </w:tblPr>
      <w:tblGrid>
        <w:gridCol w:w="3510"/>
        <w:gridCol w:w="2492"/>
        <w:gridCol w:w="3178"/>
      </w:tblGrid>
      <w:tr w:rsidR="00CC5EF1" w:rsidTr="00434CCE">
        <w:tc>
          <w:tcPr>
            <w:tcW w:w="3510" w:type="dxa"/>
          </w:tcPr>
          <w:p w:rsidR="005D0C06" w:rsidRPr="00AB6785" w:rsidRDefault="00840E2F"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840E2F"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840E2F" w:rsidP="00434CCE">
            <w:pPr>
              <w:pStyle w:val="Heading7"/>
              <w:rPr>
                <w:rFonts w:ascii="Arial" w:hAnsi="Arial" w:cs="Arial"/>
                <w:i w:val="0"/>
                <w:color w:val="auto"/>
              </w:rPr>
            </w:pPr>
            <w:r w:rsidRPr="00AB6785">
              <w:rPr>
                <w:rFonts w:ascii="Arial" w:hAnsi="Arial" w:cs="Arial"/>
                <w:i w:val="0"/>
                <w:color w:val="auto"/>
              </w:rPr>
              <w:t>Contact/Tel</w:t>
            </w:r>
          </w:p>
        </w:tc>
      </w:tr>
      <w:tr w:rsidR="00CC5EF1" w:rsidTr="00434CCE">
        <w:tc>
          <w:tcPr>
            <w:tcW w:w="3510" w:type="dxa"/>
          </w:tcPr>
          <w:p w:rsidR="005D0C06" w:rsidRPr="00AB6785" w:rsidRDefault="008C0714" w:rsidP="00434CCE">
            <w:pPr>
              <w:rPr>
                <w:color w:val="auto"/>
              </w:rPr>
            </w:pPr>
          </w:p>
          <w:p w:rsidR="005D0C06" w:rsidRDefault="00840E2F" w:rsidP="00434CCE">
            <w:pPr>
              <w:rPr>
                <w:color w:val="auto"/>
              </w:rPr>
            </w:pPr>
            <w:r>
              <w:rPr>
                <w:color w:val="auto"/>
              </w:rPr>
              <w:t>None</w:t>
            </w:r>
          </w:p>
          <w:p w:rsidR="005D0C06" w:rsidRPr="00AB6785" w:rsidRDefault="008C0714" w:rsidP="00434CCE">
            <w:pPr>
              <w:rPr>
                <w:color w:val="auto"/>
              </w:rPr>
            </w:pPr>
          </w:p>
        </w:tc>
        <w:tc>
          <w:tcPr>
            <w:tcW w:w="2492" w:type="dxa"/>
          </w:tcPr>
          <w:p w:rsidR="005D0C06" w:rsidRPr="00AB6785" w:rsidRDefault="008C0714" w:rsidP="00434CCE">
            <w:pPr>
              <w:rPr>
                <w:color w:val="auto"/>
              </w:rPr>
            </w:pPr>
          </w:p>
        </w:tc>
        <w:tc>
          <w:tcPr>
            <w:tcW w:w="3178" w:type="dxa"/>
          </w:tcPr>
          <w:p w:rsidR="005D0C06" w:rsidRPr="00AB6785" w:rsidRDefault="008C0714" w:rsidP="00434CCE">
            <w:pPr>
              <w:rPr>
                <w:color w:val="auto"/>
              </w:rPr>
            </w:pPr>
          </w:p>
        </w:tc>
      </w:tr>
      <w:tr w:rsidR="00CC5EF1" w:rsidTr="00434CCE">
        <w:trPr>
          <w:cantSplit/>
        </w:trPr>
        <w:tc>
          <w:tcPr>
            <w:tcW w:w="9180" w:type="dxa"/>
            <w:gridSpan w:val="3"/>
          </w:tcPr>
          <w:p w:rsidR="005D0C06" w:rsidRDefault="008C0714" w:rsidP="00434CCE"/>
          <w:p w:rsidR="005D0C06" w:rsidRDefault="00840E2F" w:rsidP="00434CCE">
            <w:r>
              <w:t xml:space="preserve">Reason for inclusion in Part II, if appropriate </w:t>
            </w:r>
          </w:p>
          <w:p w:rsidR="005D0C06" w:rsidRDefault="008C0714" w:rsidP="00434CCE"/>
          <w:p w:rsidR="005D0C06" w:rsidRPr="00F95C8B" w:rsidRDefault="00840E2F" w:rsidP="00434CCE">
            <w:pPr>
              <w:rPr>
                <w:color w:val="auto"/>
              </w:rPr>
            </w:pPr>
            <w:r>
              <w:rPr>
                <w:color w:val="auto"/>
              </w:rPr>
              <w:t>N/A</w:t>
            </w:r>
          </w:p>
          <w:p w:rsidR="005D0C06" w:rsidRDefault="008C0714" w:rsidP="00434CCE">
            <w:pPr>
              <w:jc w:val="both"/>
            </w:pPr>
          </w:p>
        </w:tc>
      </w:tr>
    </w:tbl>
    <w:p w:rsidR="005D0C06" w:rsidRDefault="008C0714"/>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CEC" w:rsidRDefault="00840E2F">
      <w:pPr>
        <w:spacing w:after="0" w:line="240" w:lineRule="auto"/>
      </w:pPr>
      <w:r>
        <w:separator/>
      </w:r>
    </w:p>
  </w:endnote>
  <w:endnote w:type="continuationSeparator" w:id="0">
    <w:p w:rsidR="00783CEC" w:rsidRDefault="0084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CEC" w:rsidRDefault="00840E2F">
      <w:pPr>
        <w:spacing w:after="0" w:line="240" w:lineRule="auto"/>
      </w:pPr>
      <w:r>
        <w:separator/>
      </w:r>
    </w:p>
  </w:footnote>
  <w:footnote w:type="continuationSeparator" w:id="0">
    <w:p w:rsidR="00783CEC" w:rsidRDefault="00840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840E2F">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412407"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5A"/>
    <w:multiLevelType w:val="hybridMultilevel"/>
    <w:tmpl w:val="24F8A6D6"/>
    <w:lvl w:ilvl="0" w:tplc="99C81D66">
      <w:start w:val="1"/>
      <w:numFmt w:val="bullet"/>
      <w:lvlText w:val=""/>
      <w:lvlJc w:val="left"/>
      <w:pPr>
        <w:ind w:left="1440" w:hanging="360"/>
      </w:pPr>
      <w:rPr>
        <w:rFonts w:ascii="Symbol" w:hAnsi="Symbol" w:hint="default"/>
      </w:rPr>
    </w:lvl>
    <w:lvl w:ilvl="1" w:tplc="1F046170" w:tentative="1">
      <w:start w:val="1"/>
      <w:numFmt w:val="bullet"/>
      <w:lvlText w:val="o"/>
      <w:lvlJc w:val="left"/>
      <w:pPr>
        <w:ind w:left="2160" w:hanging="360"/>
      </w:pPr>
      <w:rPr>
        <w:rFonts w:ascii="Courier New" w:hAnsi="Courier New" w:cs="Courier New" w:hint="default"/>
      </w:rPr>
    </w:lvl>
    <w:lvl w:ilvl="2" w:tplc="97ECB512" w:tentative="1">
      <w:start w:val="1"/>
      <w:numFmt w:val="bullet"/>
      <w:lvlText w:val=""/>
      <w:lvlJc w:val="left"/>
      <w:pPr>
        <w:ind w:left="2880" w:hanging="360"/>
      </w:pPr>
      <w:rPr>
        <w:rFonts w:ascii="Wingdings" w:hAnsi="Wingdings" w:hint="default"/>
      </w:rPr>
    </w:lvl>
    <w:lvl w:ilvl="3" w:tplc="E2CC38D6" w:tentative="1">
      <w:start w:val="1"/>
      <w:numFmt w:val="bullet"/>
      <w:lvlText w:val=""/>
      <w:lvlJc w:val="left"/>
      <w:pPr>
        <w:ind w:left="3600" w:hanging="360"/>
      </w:pPr>
      <w:rPr>
        <w:rFonts w:ascii="Symbol" w:hAnsi="Symbol" w:hint="default"/>
      </w:rPr>
    </w:lvl>
    <w:lvl w:ilvl="4" w:tplc="BF189764" w:tentative="1">
      <w:start w:val="1"/>
      <w:numFmt w:val="bullet"/>
      <w:lvlText w:val="o"/>
      <w:lvlJc w:val="left"/>
      <w:pPr>
        <w:ind w:left="4320" w:hanging="360"/>
      </w:pPr>
      <w:rPr>
        <w:rFonts w:ascii="Courier New" w:hAnsi="Courier New" w:cs="Courier New" w:hint="default"/>
      </w:rPr>
    </w:lvl>
    <w:lvl w:ilvl="5" w:tplc="61902868" w:tentative="1">
      <w:start w:val="1"/>
      <w:numFmt w:val="bullet"/>
      <w:lvlText w:val=""/>
      <w:lvlJc w:val="left"/>
      <w:pPr>
        <w:ind w:left="5040" w:hanging="360"/>
      </w:pPr>
      <w:rPr>
        <w:rFonts w:ascii="Wingdings" w:hAnsi="Wingdings" w:hint="default"/>
      </w:rPr>
    </w:lvl>
    <w:lvl w:ilvl="6" w:tplc="AA586E3C" w:tentative="1">
      <w:start w:val="1"/>
      <w:numFmt w:val="bullet"/>
      <w:lvlText w:val=""/>
      <w:lvlJc w:val="left"/>
      <w:pPr>
        <w:ind w:left="5760" w:hanging="360"/>
      </w:pPr>
      <w:rPr>
        <w:rFonts w:ascii="Symbol" w:hAnsi="Symbol" w:hint="default"/>
      </w:rPr>
    </w:lvl>
    <w:lvl w:ilvl="7" w:tplc="5F280E00" w:tentative="1">
      <w:start w:val="1"/>
      <w:numFmt w:val="bullet"/>
      <w:lvlText w:val="o"/>
      <w:lvlJc w:val="left"/>
      <w:pPr>
        <w:ind w:left="6480" w:hanging="360"/>
      </w:pPr>
      <w:rPr>
        <w:rFonts w:ascii="Courier New" w:hAnsi="Courier New" w:cs="Courier New" w:hint="default"/>
      </w:rPr>
    </w:lvl>
    <w:lvl w:ilvl="8" w:tplc="770CA85C" w:tentative="1">
      <w:start w:val="1"/>
      <w:numFmt w:val="bullet"/>
      <w:lvlText w:val=""/>
      <w:lvlJc w:val="left"/>
      <w:pPr>
        <w:ind w:left="7200" w:hanging="360"/>
      </w:pPr>
      <w:rPr>
        <w:rFonts w:ascii="Wingdings" w:hAnsi="Wingdings" w:hint="default"/>
      </w:rPr>
    </w:lvl>
  </w:abstractNum>
  <w:abstractNum w:abstractNumId="1" w15:restartNumberingAfterBreak="0">
    <w:nsid w:val="0F251F74"/>
    <w:multiLevelType w:val="hybridMultilevel"/>
    <w:tmpl w:val="E886223A"/>
    <w:lvl w:ilvl="0" w:tplc="96084168">
      <w:start w:val="1"/>
      <w:numFmt w:val="bullet"/>
      <w:lvlText w:val=""/>
      <w:lvlJc w:val="left"/>
      <w:pPr>
        <w:ind w:left="1080" w:hanging="360"/>
      </w:pPr>
      <w:rPr>
        <w:rFonts w:ascii="Symbol" w:hAnsi="Symbol" w:hint="default"/>
      </w:rPr>
    </w:lvl>
    <w:lvl w:ilvl="1" w:tplc="8D02169C" w:tentative="1">
      <w:start w:val="1"/>
      <w:numFmt w:val="bullet"/>
      <w:lvlText w:val="o"/>
      <w:lvlJc w:val="left"/>
      <w:pPr>
        <w:ind w:left="1800" w:hanging="360"/>
      </w:pPr>
      <w:rPr>
        <w:rFonts w:ascii="Courier New" w:hAnsi="Courier New" w:cs="Courier New" w:hint="default"/>
      </w:rPr>
    </w:lvl>
    <w:lvl w:ilvl="2" w:tplc="C05E67A8" w:tentative="1">
      <w:start w:val="1"/>
      <w:numFmt w:val="bullet"/>
      <w:lvlText w:val=""/>
      <w:lvlJc w:val="left"/>
      <w:pPr>
        <w:ind w:left="2520" w:hanging="360"/>
      </w:pPr>
      <w:rPr>
        <w:rFonts w:ascii="Wingdings" w:hAnsi="Wingdings" w:hint="default"/>
      </w:rPr>
    </w:lvl>
    <w:lvl w:ilvl="3" w:tplc="2E3C1E20" w:tentative="1">
      <w:start w:val="1"/>
      <w:numFmt w:val="bullet"/>
      <w:lvlText w:val=""/>
      <w:lvlJc w:val="left"/>
      <w:pPr>
        <w:ind w:left="3240" w:hanging="360"/>
      </w:pPr>
      <w:rPr>
        <w:rFonts w:ascii="Symbol" w:hAnsi="Symbol" w:hint="default"/>
      </w:rPr>
    </w:lvl>
    <w:lvl w:ilvl="4" w:tplc="0BC02CA0" w:tentative="1">
      <w:start w:val="1"/>
      <w:numFmt w:val="bullet"/>
      <w:lvlText w:val="o"/>
      <w:lvlJc w:val="left"/>
      <w:pPr>
        <w:ind w:left="3960" w:hanging="360"/>
      </w:pPr>
      <w:rPr>
        <w:rFonts w:ascii="Courier New" w:hAnsi="Courier New" w:cs="Courier New" w:hint="default"/>
      </w:rPr>
    </w:lvl>
    <w:lvl w:ilvl="5" w:tplc="39F02482" w:tentative="1">
      <w:start w:val="1"/>
      <w:numFmt w:val="bullet"/>
      <w:lvlText w:val=""/>
      <w:lvlJc w:val="left"/>
      <w:pPr>
        <w:ind w:left="4680" w:hanging="360"/>
      </w:pPr>
      <w:rPr>
        <w:rFonts w:ascii="Wingdings" w:hAnsi="Wingdings" w:hint="default"/>
      </w:rPr>
    </w:lvl>
    <w:lvl w:ilvl="6" w:tplc="1226BC94" w:tentative="1">
      <w:start w:val="1"/>
      <w:numFmt w:val="bullet"/>
      <w:lvlText w:val=""/>
      <w:lvlJc w:val="left"/>
      <w:pPr>
        <w:ind w:left="5400" w:hanging="360"/>
      </w:pPr>
      <w:rPr>
        <w:rFonts w:ascii="Symbol" w:hAnsi="Symbol" w:hint="default"/>
      </w:rPr>
    </w:lvl>
    <w:lvl w:ilvl="7" w:tplc="FA5C3154" w:tentative="1">
      <w:start w:val="1"/>
      <w:numFmt w:val="bullet"/>
      <w:lvlText w:val="o"/>
      <w:lvlJc w:val="left"/>
      <w:pPr>
        <w:ind w:left="6120" w:hanging="360"/>
      </w:pPr>
      <w:rPr>
        <w:rFonts w:ascii="Courier New" w:hAnsi="Courier New" w:cs="Courier New" w:hint="default"/>
      </w:rPr>
    </w:lvl>
    <w:lvl w:ilvl="8" w:tplc="C70EDA4A" w:tentative="1">
      <w:start w:val="1"/>
      <w:numFmt w:val="bullet"/>
      <w:lvlText w:val=""/>
      <w:lvlJc w:val="left"/>
      <w:pPr>
        <w:ind w:left="684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D2473D4"/>
    <w:multiLevelType w:val="hybridMultilevel"/>
    <w:tmpl w:val="0BBA2C0C"/>
    <w:lvl w:ilvl="0" w:tplc="C400D81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E47AD1EC">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C00AF7F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9850D14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AD1CA5F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7AD4B3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5C94FEC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C1A2E91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38CE9C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3FB96857"/>
    <w:multiLevelType w:val="hybridMultilevel"/>
    <w:tmpl w:val="A0487E88"/>
    <w:lvl w:ilvl="0" w:tplc="24F411E6">
      <w:start w:val="1"/>
      <w:numFmt w:val="decimal"/>
      <w:lvlText w:val="%1."/>
      <w:lvlJc w:val="left"/>
      <w:pPr>
        <w:ind w:left="1080" w:hanging="360"/>
      </w:pPr>
      <w:rPr>
        <w:rFonts w:hint="default"/>
      </w:rPr>
    </w:lvl>
    <w:lvl w:ilvl="1" w:tplc="1248C0B0" w:tentative="1">
      <w:start w:val="1"/>
      <w:numFmt w:val="lowerLetter"/>
      <w:lvlText w:val="%2."/>
      <w:lvlJc w:val="left"/>
      <w:pPr>
        <w:ind w:left="1800" w:hanging="360"/>
      </w:pPr>
    </w:lvl>
    <w:lvl w:ilvl="2" w:tplc="B9E62DFE" w:tentative="1">
      <w:start w:val="1"/>
      <w:numFmt w:val="lowerRoman"/>
      <w:lvlText w:val="%3."/>
      <w:lvlJc w:val="right"/>
      <w:pPr>
        <w:ind w:left="2520" w:hanging="180"/>
      </w:pPr>
    </w:lvl>
    <w:lvl w:ilvl="3" w:tplc="EBC6B3D2" w:tentative="1">
      <w:start w:val="1"/>
      <w:numFmt w:val="decimal"/>
      <w:lvlText w:val="%4."/>
      <w:lvlJc w:val="left"/>
      <w:pPr>
        <w:ind w:left="3240" w:hanging="360"/>
      </w:pPr>
    </w:lvl>
    <w:lvl w:ilvl="4" w:tplc="03D20C58" w:tentative="1">
      <w:start w:val="1"/>
      <w:numFmt w:val="lowerLetter"/>
      <w:lvlText w:val="%5."/>
      <w:lvlJc w:val="left"/>
      <w:pPr>
        <w:ind w:left="3960" w:hanging="360"/>
      </w:pPr>
    </w:lvl>
    <w:lvl w:ilvl="5" w:tplc="FB940276" w:tentative="1">
      <w:start w:val="1"/>
      <w:numFmt w:val="lowerRoman"/>
      <w:lvlText w:val="%6."/>
      <w:lvlJc w:val="right"/>
      <w:pPr>
        <w:ind w:left="4680" w:hanging="180"/>
      </w:pPr>
    </w:lvl>
    <w:lvl w:ilvl="6" w:tplc="E34C8B68" w:tentative="1">
      <w:start w:val="1"/>
      <w:numFmt w:val="decimal"/>
      <w:lvlText w:val="%7."/>
      <w:lvlJc w:val="left"/>
      <w:pPr>
        <w:ind w:left="5400" w:hanging="360"/>
      </w:pPr>
    </w:lvl>
    <w:lvl w:ilvl="7" w:tplc="AE6E4ACC" w:tentative="1">
      <w:start w:val="1"/>
      <w:numFmt w:val="lowerLetter"/>
      <w:lvlText w:val="%8."/>
      <w:lvlJc w:val="left"/>
      <w:pPr>
        <w:ind w:left="6120" w:hanging="360"/>
      </w:pPr>
    </w:lvl>
    <w:lvl w:ilvl="8" w:tplc="0AD4BE86" w:tentative="1">
      <w:start w:val="1"/>
      <w:numFmt w:val="lowerRoman"/>
      <w:lvlText w:val="%9."/>
      <w:lvlJc w:val="right"/>
      <w:pPr>
        <w:ind w:left="6840" w:hanging="180"/>
      </w:pPr>
    </w:lvl>
  </w:abstractNum>
  <w:abstractNum w:abstractNumId="5" w15:restartNumberingAfterBreak="0">
    <w:nsid w:val="4BDC6994"/>
    <w:multiLevelType w:val="hybridMultilevel"/>
    <w:tmpl w:val="989401A0"/>
    <w:lvl w:ilvl="0" w:tplc="8556CE14">
      <w:start w:val="1"/>
      <w:numFmt w:val="lowerRoman"/>
      <w:lvlText w:val="(%1)"/>
      <w:lvlJc w:val="left"/>
      <w:pPr>
        <w:ind w:left="1080" w:hanging="720"/>
      </w:pPr>
      <w:rPr>
        <w:rFonts w:hint="default"/>
      </w:rPr>
    </w:lvl>
    <w:lvl w:ilvl="1" w:tplc="6054FAE4" w:tentative="1">
      <w:start w:val="1"/>
      <w:numFmt w:val="lowerLetter"/>
      <w:lvlText w:val="%2."/>
      <w:lvlJc w:val="left"/>
      <w:pPr>
        <w:ind w:left="1440" w:hanging="360"/>
      </w:pPr>
    </w:lvl>
    <w:lvl w:ilvl="2" w:tplc="8B6064C6" w:tentative="1">
      <w:start w:val="1"/>
      <w:numFmt w:val="lowerRoman"/>
      <w:lvlText w:val="%3."/>
      <w:lvlJc w:val="right"/>
      <w:pPr>
        <w:ind w:left="2160" w:hanging="180"/>
      </w:pPr>
    </w:lvl>
    <w:lvl w:ilvl="3" w:tplc="8DAEC410" w:tentative="1">
      <w:start w:val="1"/>
      <w:numFmt w:val="decimal"/>
      <w:lvlText w:val="%4."/>
      <w:lvlJc w:val="left"/>
      <w:pPr>
        <w:ind w:left="2880" w:hanging="360"/>
      </w:pPr>
    </w:lvl>
    <w:lvl w:ilvl="4" w:tplc="48263102" w:tentative="1">
      <w:start w:val="1"/>
      <w:numFmt w:val="lowerLetter"/>
      <w:lvlText w:val="%5."/>
      <w:lvlJc w:val="left"/>
      <w:pPr>
        <w:ind w:left="3600" w:hanging="360"/>
      </w:pPr>
    </w:lvl>
    <w:lvl w:ilvl="5" w:tplc="96CEF0D4" w:tentative="1">
      <w:start w:val="1"/>
      <w:numFmt w:val="lowerRoman"/>
      <w:lvlText w:val="%6."/>
      <w:lvlJc w:val="right"/>
      <w:pPr>
        <w:ind w:left="4320" w:hanging="180"/>
      </w:pPr>
    </w:lvl>
    <w:lvl w:ilvl="6" w:tplc="AE28E976" w:tentative="1">
      <w:start w:val="1"/>
      <w:numFmt w:val="decimal"/>
      <w:lvlText w:val="%7."/>
      <w:lvlJc w:val="left"/>
      <w:pPr>
        <w:ind w:left="5040" w:hanging="360"/>
      </w:pPr>
    </w:lvl>
    <w:lvl w:ilvl="7" w:tplc="EB14EA4E" w:tentative="1">
      <w:start w:val="1"/>
      <w:numFmt w:val="lowerLetter"/>
      <w:lvlText w:val="%8."/>
      <w:lvlJc w:val="left"/>
      <w:pPr>
        <w:ind w:left="5760" w:hanging="360"/>
      </w:pPr>
    </w:lvl>
    <w:lvl w:ilvl="8" w:tplc="6994C322" w:tentative="1">
      <w:start w:val="1"/>
      <w:numFmt w:val="lowerRoman"/>
      <w:lvlText w:val="%9."/>
      <w:lvlJc w:val="right"/>
      <w:pPr>
        <w:ind w:left="6480" w:hanging="180"/>
      </w:p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52FD0DE5"/>
    <w:multiLevelType w:val="hybridMultilevel"/>
    <w:tmpl w:val="97E6C11A"/>
    <w:lvl w:ilvl="0" w:tplc="B2B42DC4">
      <w:start w:val="1"/>
      <w:numFmt w:val="bullet"/>
      <w:lvlText w:val=""/>
      <w:lvlJc w:val="left"/>
      <w:pPr>
        <w:ind w:left="1080" w:hanging="360"/>
      </w:pPr>
      <w:rPr>
        <w:rFonts w:ascii="Symbol" w:hAnsi="Symbol" w:hint="default"/>
      </w:rPr>
    </w:lvl>
    <w:lvl w:ilvl="1" w:tplc="03B8020E" w:tentative="1">
      <w:start w:val="1"/>
      <w:numFmt w:val="bullet"/>
      <w:lvlText w:val="o"/>
      <w:lvlJc w:val="left"/>
      <w:pPr>
        <w:ind w:left="1800" w:hanging="360"/>
      </w:pPr>
      <w:rPr>
        <w:rFonts w:ascii="Courier New" w:hAnsi="Courier New" w:cs="Courier New" w:hint="default"/>
      </w:rPr>
    </w:lvl>
    <w:lvl w:ilvl="2" w:tplc="3A7651C8" w:tentative="1">
      <w:start w:val="1"/>
      <w:numFmt w:val="bullet"/>
      <w:lvlText w:val=""/>
      <w:lvlJc w:val="left"/>
      <w:pPr>
        <w:ind w:left="2520" w:hanging="360"/>
      </w:pPr>
      <w:rPr>
        <w:rFonts w:ascii="Wingdings" w:hAnsi="Wingdings" w:hint="default"/>
      </w:rPr>
    </w:lvl>
    <w:lvl w:ilvl="3" w:tplc="000C4876" w:tentative="1">
      <w:start w:val="1"/>
      <w:numFmt w:val="bullet"/>
      <w:lvlText w:val=""/>
      <w:lvlJc w:val="left"/>
      <w:pPr>
        <w:ind w:left="3240" w:hanging="360"/>
      </w:pPr>
      <w:rPr>
        <w:rFonts w:ascii="Symbol" w:hAnsi="Symbol" w:hint="default"/>
      </w:rPr>
    </w:lvl>
    <w:lvl w:ilvl="4" w:tplc="6CC4091A" w:tentative="1">
      <w:start w:val="1"/>
      <w:numFmt w:val="bullet"/>
      <w:lvlText w:val="o"/>
      <w:lvlJc w:val="left"/>
      <w:pPr>
        <w:ind w:left="3960" w:hanging="360"/>
      </w:pPr>
      <w:rPr>
        <w:rFonts w:ascii="Courier New" w:hAnsi="Courier New" w:cs="Courier New" w:hint="default"/>
      </w:rPr>
    </w:lvl>
    <w:lvl w:ilvl="5" w:tplc="7902ACDC" w:tentative="1">
      <w:start w:val="1"/>
      <w:numFmt w:val="bullet"/>
      <w:lvlText w:val=""/>
      <w:lvlJc w:val="left"/>
      <w:pPr>
        <w:ind w:left="4680" w:hanging="360"/>
      </w:pPr>
      <w:rPr>
        <w:rFonts w:ascii="Wingdings" w:hAnsi="Wingdings" w:hint="default"/>
      </w:rPr>
    </w:lvl>
    <w:lvl w:ilvl="6" w:tplc="1988C362" w:tentative="1">
      <w:start w:val="1"/>
      <w:numFmt w:val="bullet"/>
      <w:lvlText w:val=""/>
      <w:lvlJc w:val="left"/>
      <w:pPr>
        <w:ind w:left="5400" w:hanging="360"/>
      </w:pPr>
      <w:rPr>
        <w:rFonts w:ascii="Symbol" w:hAnsi="Symbol" w:hint="default"/>
      </w:rPr>
    </w:lvl>
    <w:lvl w:ilvl="7" w:tplc="FD4CF198" w:tentative="1">
      <w:start w:val="1"/>
      <w:numFmt w:val="bullet"/>
      <w:lvlText w:val="o"/>
      <w:lvlJc w:val="left"/>
      <w:pPr>
        <w:ind w:left="6120" w:hanging="360"/>
      </w:pPr>
      <w:rPr>
        <w:rFonts w:ascii="Courier New" w:hAnsi="Courier New" w:cs="Courier New" w:hint="default"/>
      </w:rPr>
    </w:lvl>
    <w:lvl w:ilvl="8" w:tplc="E7762D48" w:tentative="1">
      <w:start w:val="1"/>
      <w:numFmt w:val="bullet"/>
      <w:lvlText w:val=""/>
      <w:lvlJc w:val="left"/>
      <w:pPr>
        <w:ind w:left="6840" w:hanging="360"/>
      </w:pPr>
      <w:rPr>
        <w:rFonts w:ascii="Wingdings" w:hAnsi="Wingdings" w:hint="default"/>
      </w:rPr>
    </w:lvl>
  </w:abstractNum>
  <w:abstractNum w:abstractNumId="8" w15:restartNumberingAfterBreak="0">
    <w:nsid w:val="6DD720AB"/>
    <w:multiLevelType w:val="hybridMultilevel"/>
    <w:tmpl w:val="98BAA1D6"/>
    <w:lvl w:ilvl="0" w:tplc="CE10F7D0">
      <w:start w:val="1"/>
      <w:numFmt w:val="bullet"/>
      <w:lvlText w:val=""/>
      <w:lvlJc w:val="left"/>
      <w:pPr>
        <w:ind w:left="1262" w:hanging="360"/>
      </w:pPr>
      <w:rPr>
        <w:rFonts w:ascii="Symbol" w:hAnsi="Symbol" w:hint="default"/>
      </w:rPr>
    </w:lvl>
    <w:lvl w:ilvl="1" w:tplc="75526D08" w:tentative="1">
      <w:start w:val="1"/>
      <w:numFmt w:val="bullet"/>
      <w:lvlText w:val="o"/>
      <w:lvlJc w:val="left"/>
      <w:pPr>
        <w:ind w:left="1982" w:hanging="360"/>
      </w:pPr>
      <w:rPr>
        <w:rFonts w:ascii="Courier New" w:hAnsi="Courier New" w:cs="Courier New" w:hint="default"/>
      </w:rPr>
    </w:lvl>
    <w:lvl w:ilvl="2" w:tplc="68761312" w:tentative="1">
      <w:start w:val="1"/>
      <w:numFmt w:val="bullet"/>
      <w:lvlText w:val=""/>
      <w:lvlJc w:val="left"/>
      <w:pPr>
        <w:ind w:left="2702" w:hanging="360"/>
      </w:pPr>
      <w:rPr>
        <w:rFonts w:ascii="Wingdings" w:hAnsi="Wingdings" w:hint="default"/>
      </w:rPr>
    </w:lvl>
    <w:lvl w:ilvl="3" w:tplc="F51AA1D2" w:tentative="1">
      <w:start w:val="1"/>
      <w:numFmt w:val="bullet"/>
      <w:lvlText w:val=""/>
      <w:lvlJc w:val="left"/>
      <w:pPr>
        <w:ind w:left="3422" w:hanging="360"/>
      </w:pPr>
      <w:rPr>
        <w:rFonts w:ascii="Symbol" w:hAnsi="Symbol" w:hint="default"/>
      </w:rPr>
    </w:lvl>
    <w:lvl w:ilvl="4" w:tplc="7F2E755C" w:tentative="1">
      <w:start w:val="1"/>
      <w:numFmt w:val="bullet"/>
      <w:lvlText w:val="o"/>
      <w:lvlJc w:val="left"/>
      <w:pPr>
        <w:ind w:left="4142" w:hanging="360"/>
      </w:pPr>
      <w:rPr>
        <w:rFonts w:ascii="Courier New" w:hAnsi="Courier New" w:cs="Courier New" w:hint="default"/>
      </w:rPr>
    </w:lvl>
    <w:lvl w:ilvl="5" w:tplc="E5489C3C" w:tentative="1">
      <w:start w:val="1"/>
      <w:numFmt w:val="bullet"/>
      <w:lvlText w:val=""/>
      <w:lvlJc w:val="left"/>
      <w:pPr>
        <w:ind w:left="4862" w:hanging="360"/>
      </w:pPr>
      <w:rPr>
        <w:rFonts w:ascii="Wingdings" w:hAnsi="Wingdings" w:hint="default"/>
      </w:rPr>
    </w:lvl>
    <w:lvl w:ilvl="6" w:tplc="300C8FBA" w:tentative="1">
      <w:start w:val="1"/>
      <w:numFmt w:val="bullet"/>
      <w:lvlText w:val=""/>
      <w:lvlJc w:val="left"/>
      <w:pPr>
        <w:ind w:left="5582" w:hanging="360"/>
      </w:pPr>
      <w:rPr>
        <w:rFonts w:ascii="Symbol" w:hAnsi="Symbol" w:hint="default"/>
      </w:rPr>
    </w:lvl>
    <w:lvl w:ilvl="7" w:tplc="7954F190" w:tentative="1">
      <w:start w:val="1"/>
      <w:numFmt w:val="bullet"/>
      <w:lvlText w:val="o"/>
      <w:lvlJc w:val="left"/>
      <w:pPr>
        <w:ind w:left="6302" w:hanging="360"/>
      </w:pPr>
      <w:rPr>
        <w:rFonts w:ascii="Courier New" w:hAnsi="Courier New" w:cs="Courier New" w:hint="default"/>
      </w:rPr>
    </w:lvl>
    <w:lvl w:ilvl="8" w:tplc="EB9A2D12" w:tentative="1">
      <w:start w:val="1"/>
      <w:numFmt w:val="bullet"/>
      <w:lvlText w:val=""/>
      <w:lvlJc w:val="left"/>
      <w:pPr>
        <w:ind w:left="7022"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F1"/>
    <w:rsid w:val="00783CEC"/>
    <w:rsid w:val="00840E2F"/>
    <w:rsid w:val="008C0714"/>
    <w:rsid w:val="00CC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804B"/>
  <w15:docId w15:val="{3C159C31-8ED8-4D7A-A6BC-46B4FCB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CommentReference">
    <w:name w:val="annotation reference"/>
    <w:basedOn w:val="DefaultParagraphFont"/>
    <w:uiPriority w:val="99"/>
    <w:semiHidden/>
    <w:unhideWhenUsed/>
    <w:rsid w:val="00AA4027"/>
    <w:rPr>
      <w:sz w:val="16"/>
      <w:szCs w:val="16"/>
    </w:rPr>
  </w:style>
  <w:style w:type="paragraph" w:styleId="CommentText">
    <w:name w:val="annotation text"/>
    <w:basedOn w:val="Normal"/>
    <w:link w:val="CommentTextChar"/>
    <w:uiPriority w:val="99"/>
    <w:semiHidden/>
    <w:unhideWhenUsed/>
    <w:rsid w:val="00AA4027"/>
    <w:pPr>
      <w:spacing w:line="240" w:lineRule="auto"/>
    </w:pPr>
    <w:rPr>
      <w:sz w:val="20"/>
      <w:szCs w:val="20"/>
    </w:rPr>
  </w:style>
  <w:style w:type="character" w:customStyle="1" w:styleId="CommentTextChar">
    <w:name w:val="Comment Text Char"/>
    <w:basedOn w:val="DefaultParagraphFont"/>
    <w:link w:val="CommentText"/>
    <w:uiPriority w:val="99"/>
    <w:semiHidden/>
    <w:rsid w:val="00AA4027"/>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A4027"/>
    <w:rPr>
      <w:b/>
      <w:bCs/>
    </w:rPr>
  </w:style>
  <w:style w:type="character" w:customStyle="1" w:styleId="CommentSubjectChar">
    <w:name w:val="Comment Subject Char"/>
    <w:basedOn w:val="CommentTextChar"/>
    <w:link w:val="CommentSubject"/>
    <w:uiPriority w:val="99"/>
    <w:semiHidden/>
    <w:rsid w:val="00AA4027"/>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AA4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027"/>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484A5-B3AE-410F-9104-AED49371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18</cp:revision>
  <dcterms:created xsi:type="dcterms:W3CDTF">2014-12-03T08:17:00Z</dcterms:created>
  <dcterms:modified xsi:type="dcterms:W3CDTF">2020-12-02T13:35:00Z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Board Financial Update - October 2020</vt:lpwstr>
  </property>
  <property fmtid="{D5CDD505-2E9C-101B-9397-08002B2CF9AE}" pid="3" name="LeadOfficer">
    <vt:lpwstr>Joanne Ainsworth</vt:lpwstr>
  </property>
  <property fmtid="{D5CDD505-2E9C-101B-9397-08002B2CF9AE}" pid="4" name="LeadOfficerEmail">
    <vt:lpwstr>joanne.ainsworth@lancashire.gov.uk</vt:lpwstr>
  </property>
  <property fmtid="{D5CDD505-2E9C-101B-9397-08002B2CF9AE}" pid="5" name="LeadOfficerTel">
    <vt:lpwstr/>
  </property>
  <property fmtid="{D5CDD505-2E9C-101B-9397-08002B2CF9AE}" pid="6" name="MeetingDate">
    <vt:lpwstr>Tuesday, 8 December 2020</vt:lpwstr>
  </property>
</Properties>
</file>